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D" w:rsidRDefault="0072601D" w:rsidP="0072601D">
      <w:pPr>
        <w:spacing w:after="12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:rsidR="0072601D" w:rsidRDefault="0072601D" w:rsidP="0072601D">
      <w:pPr>
        <w:rPr>
          <w:rFonts w:ascii="Times New Roman" w:hAnsi="Times New Roman"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  <w:bookmarkEnd w:id="0"/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</w:t>
      </w:r>
      <w:r>
        <w:rPr>
          <w:rFonts w:ascii="Times New Roman" w:hAnsi="Times New Roman"/>
          <w:sz w:val="30"/>
          <w:szCs w:val="30"/>
        </w:rPr>
        <w:lastRenderedPageBreak/>
        <w:t xml:space="preserve">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72601D" w:rsidRPr="0072601D" w:rsidRDefault="00FD42DD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72601D" w:rsidRPr="0072601D">
          <w:rPr>
            <w:sz w:val="30"/>
            <w:szCs w:val="30"/>
          </w:rPr>
          <w:br/>
        </w:r>
        <w:r w:rsidR="0072601D" w:rsidRPr="0072601D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72601D" w:rsidRPr="0072601D">
        <w:rPr>
          <w:sz w:val="30"/>
          <w:szCs w:val="30"/>
        </w:rPr>
        <w:t>;</w:t>
      </w:r>
    </w:p>
    <w:p w:rsidR="0072601D" w:rsidRDefault="00FD42DD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</w:t>
        </w:r>
      </w:hyperlink>
      <w:r w:rsidR="0072601D">
        <w:rPr>
          <w:sz w:val="28"/>
          <w:szCs w:val="28"/>
        </w:rPr>
        <w:t>;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г.Минска, районов и городов областного подчинения формируются региональные комплексы мероприятий.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72601D" w:rsidRDefault="0072601D" w:rsidP="0072601D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Молодечненского, Солигорского районов. </w:t>
      </w:r>
    </w:p>
    <w:p w:rsidR="0072601D" w:rsidRDefault="0072601D" w:rsidP="0072601D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72601D" w:rsidRDefault="0072601D" w:rsidP="0072601D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г.Минск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г.Минске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замедлений в мировой горнодобыче и падения мировых цен на сырьевые ресурсы, усиления конкуренции на основных рынках сбыта.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г.Шклове, г.Добруше, г.Светлогорске.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>являются Гомельская (за 2019 год – 20,6% объема промышленного производства страны), Минская (19,6%), Витебская (14,3%) области и г.Минск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>, которая формирует от 15,1% ВРП в г.Минске до 40,6%</w:t>
      </w:r>
      <w:r w:rsidR="00633C79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г.Минска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г.Минске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72601D" w:rsidRDefault="0072601D" w:rsidP="0072601D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 xml:space="preserve">: в ходе проведения единого дня информирования целесообразно приводить соответствующие сведения </w:t>
      </w:r>
      <w:r>
        <w:rPr>
          <w:rFonts w:ascii="Times New Roman" w:hAnsi="Times New Roman"/>
          <w:i/>
          <w:sz w:val="30"/>
          <w:szCs w:val="30"/>
        </w:rPr>
        <w:lastRenderedPageBreak/>
        <w:t>и примеры применительно к конкретному региону, территории, населенному пункту.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индекс промышленного производства составил: в Витебской области – 99,3% к 2018 году, г.Минске – 99,7%.</w:t>
      </w:r>
    </w:p>
    <w:p w:rsidR="0072601D" w:rsidRDefault="0072601D" w:rsidP="00B5118E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>: производство этой продукции в сельхозорганизациях региона выросло на 5,4% к 2018 году. С приростом в животноводстве по итогам 2019 года также сработали сельхозорганизации Минской (на 2,8% к 2018 году) и Гродненской (на 0,9%)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тыс.кв.м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тыс.кв.м жилья (116,6% к 2018 году); в наибольших объемах – в Брестской (24,8%), Минской (18,4%) и Гомельской (15,9%)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тыс.кв.м (102,5% к 2018 году). Наибольшие объемы такого жилья также введены в Минской (44,6%), Брестской (18,3%) и Гомельской (11,6%)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</w:t>
      </w:r>
      <w:r w:rsidR="00B5118E">
        <w:rPr>
          <w:rFonts w:ascii="Times New Roman" w:eastAsia="Arial Unicode MS" w:hAnsi="Times New Roman"/>
          <w:i/>
          <w:spacing w:val="-6"/>
          <w:sz w:val="28"/>
          <w:szCs w:val="28"/>
        </w:rPr>
        <w:t> 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– 10 объектов, г.Минске – 2.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="00B5118E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>– отмечал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lastRenderedPageBreak/>
        <w:t>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суперконцентратов и комбикормов для молодняка сельскохозяйственных животных (ЗАО «Консул»); строительство второй очереди Западного обхода г.Бреста; объекты к празднованию 1000-летия г.Бреста;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«Гомельстекло».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«Гомельстекло»);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 xml:space="preserve">(ООО «Новалок»); «Строительство цеха азотной кислоты мощностью 1200 тонн в сутки с реконструкцией действующего производства карбамидо-амиачной смеси» (ОАО «ГродноАзот»); 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Любанского района» (ООО «Белкалий-Мигао»);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Смолевичского района» (ЗАО «ЮНИМИТ»);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«Могилевхимволокно» по проспекту Шмидта, 45 в г.Могилеве. Первая очередь строительства. Реконструкция химического цеха № 2 производства органического </w:t>
      </w: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>синтеза с организацией производства полиэфирного волокна способом прямого формования» (ОАО «Могилевхимволокно»);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г.Минске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«Фармлэнд»); «Проектирование и строительство торгового центра в районе пересечения ул.Чечота и Каролинской в г.Минске» (ОДО «Виталюр»).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А.Г.Лукашенко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«Бремино-Орша»;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г.Минск (614,8 млн долл., или 50,1% от объема в целом по стране), Минскую (281,3 млн долл., или 22,9%) и Могилевскую (104,5 млн долл., или 8,5%) области.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>в г.Минске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72601D" w:rsidRDefault="0072601D" w:rsidP="0072601D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г.Минска составляет более 40%, в Минской области – около 32%.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г.Минске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развития малого и среднего предпринимательства «Беларусь – страна успешного предпринимательства» на период до 2030 года.</w:t>
      </w:r>
    </w:p>
    <w:p w:rsidR="0072601D" w:rsidRDefault="0072601D" w:rsidP="0072601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 w:rsidR="00633C79"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72601D" w:rsidRDefault="0072601D" w:rsidP="0072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Браславский, Оршанский, Брагинский, Жлобинский, Хойникский, Лидский, Борисовский, Молодечненский, Быховский, Хотимский).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>В рамках данного проекта на отобранных 6 пилотных площадках планируется создание центров поддержки предпринимательства (Витебская область – г.Глубокое, г.Барань, Могилевская область – г.Кричев, г.Чаусы, г.Горки и г.Мстиславль).</w:t>
      </w:r>
    </w:p>
    <w:p w:rsidR="0072601D" w:rsidRDefault="0072601D" w:rsidP="0072601D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объеме экспорта товаров страны приходится на </w:t>
      </w:r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Arial" w:hAnsi="Arial" w:cs="Arial"/>
          <w:color w:val="40404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г.Минск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72601D" w:rsidRDefault="0072601D" w:rsidP="0072601D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72601D" w:rsidRDefault="0072601D" w:rsidP="0072601D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72601D" w:rsidRDefault="0072601D" w:rsidP="0072601D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Солигорский, Молодечненский),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(Глубокский,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Развитие столицы необходимо сконцентрировать на выполнении </w:t>
      </w:r>
      <w:r>
        <w:rPr>
          <w:rFonts w:ascii="Times New Roman" w:eastAsia="Times New Roman" w:hAnsi="Times New Roman"/>
          <w:spacing w:val="-6"/>
          <w:sz w:val="30"/>
          <w:szCs w:val="30"/>
        </w:rPr>
        <w:lastRenderedPageBreak/>
        <w:t>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72601D" w:rsidRDefault="0072601D" w:rsidP="0072601D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Системная работа по развитию столичных функций г.Минска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формирование в городах сбалансированной, низкоуглеродной,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72601D" w:rsidRDefault="0072601D" w:rsidP="007260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lastRenderedPageBreak/>
        <w:t xml:space="preserve">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72601D" w:rsidRDefault="0072601D" w:rsidP="007260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72601D" w:rsidRDefault="0072601D" w:rsidP="0072601D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r w:rsidR="00B5118E">
        <w:rPr>
          <w:b/>
          <w:spacing w:val="-6"/>
        </w:rPr>
        <w:t>Гомельской</w:t>
      </w:r>
      <w:r>
        <w:rPr>
          <w:b/>
          <w:spacing w:val="-6"/>
        </w:rPr>
        <w:t xml:space="preserve"> области.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Главной целью развития Гомельской области является </w:t>
      </w:r>
      <w:r>
        <w:rPr>
          <w:rFonts w:ascii="Times New Roman" w:hAnsi="Times New Roman"/>
          <w:bCs/>
          <w:spacing w:val="-6"/>
          <w:sz w:val="30"/>
          <w:szCs w:val="30"/>
        </w:rPr>
        <w:t>выход на траекторию поступательного роста социально-экономического развития региона и обеспечение достойного уровня качества жизни населения.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В Гомельской области в 2020 году планируется реализация </w:t>
      </w:r>
      <w:r>
        <w:rPr>
          <w:rFonts w:ascii="Times New Roman" w:hAnsi="Times New Roman"/>
          <w:spacing w:val="-6"/>
          <w:sz w:val="30"/>
          <w:szCs w:val="30"/>
        </w:rPr>
        <w:br/>
        <w:t>ряда инвестиционных проектов, в том числе предусмотренных Программой социально-экономического развития Гомельской области на 2016–2020 годы. В их числе: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комплекс гидрокрекинга тяжелых нефтяных остатков в ОАО «Мозырский НПЗ»;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промышленная разработка Петриковского месторождения калийных солей со строительством и вводом в эксплуатацию горно-обогатительного комплекса мощностью 1,5 млн</w:t>
      </w:r>
      <w:r w:rsidR="00633C7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тонн хлорида калия в год (инвестор – </w:t>
      </w:r>
      <w:r>
        <w:rPr>
          <w:rFonts w:ascii="Times New Roman" w:hAnsi="Times New Roman"/>
          <w:spacing w:val="-6"/>
          <w:sz w:val="30"/>
          <w:szCs w:val="30"/>
        </w:rPr>
        <w:br/>
        <w:t>ОАО «Беларуськалий»);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«СветлогорскХимволокно» реализуется проект по увеличению выпуска полипропиленовой ткани и контейнеров типа «Биг-бег»;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«БМЗ – управляющая компания холдинга «БМК» продолжит комплексную реконструкцию пылегазоулавливающей установки, что позволит обеспечить снижение объемов выбросов загрязняющих веществ в атмосферу;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«Завод торфяного машиностроения «Большевик» планирует освоить выпуск новой продукции (полувагоны узкой колеи новой модификации);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«Светлогорский ЦКК» планирует вывести на проектную мощность завод по производству сульфатной беленой целлюлозы мощностью 400 тыс. тонн в год, в том числе производство вискозной целлюлозы, что позволит полностью обеспечить целлюлозно-бумажные предприятия Республики Беларусь высококачественным волокнистым сырьем, а излишки экспортировать на рынки ближнего и дальнего зарубежья. Вовлечение в оборот неиспользуемых лиственных пород даст толчок развитию лесозаготовок, дорожному строительству, машиностроению.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ОАО «УКХ «Белорусские обои» продолжит в 2020 году техническое переоснащение филиала «Добрушская бумажная фабрика «Герой труда» с организацией производства мелованных и немелованных видов картона «под ключ».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Особое внимание уделяется развитию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«чернобыльских территорий»</w:t>
      </w:r>
      <w:r>
        <w:rPr>
          <w:rFonts w:ascii="Times New Roman" w:hAnsi="Times New Roman"/>
          <w:spacing w:val="-6"/>
          <w:sz w:val="30"/>
          <w:szCs w:val="30"/>
        </w:rPr>
        <w:t xml:space="preserve"> Гомельской области на принципах </w:t>
      </w:r>
      <w:r>
        <w:rPr>
          <w:rFonts w:ascii="Times New Roman" w:hAnsi="Times New Roman"/>
          <w:b/>
          <w:spacing w:val="-6"/>
          <w:sz w:val="30"/>
          <w:szCs w:val="30"/>
        </w:rPr>
        <w:t>устойчивого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: реализация специальных инновационных проектов по развитию пострадавших районов. </w:t>
      </w:r>
    </w:p>
    <w:p w:rsidR="0072601D" w:rsidRDefault="0072601D" w:rsidP="0072601D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widowControl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Под «чернобыльскими территориями» Гомельской области подразумеваются наиболее пострадавшие районы: Кормянский, Чечерский, Ветковский, Добрушский, Буда-Кошелевский, Рогачевский, Брагинский, Хойникский, Наровлянский, Ельский, Лоевский, Речицкий, Гомельский.</w:t>
      </w:r>
    </w:p>
    <w:p w:rsidR="0072601D" w:rsidRDefault="0072601D" w:rsidP="0072601D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72601D" w:rsidRDefault="0072601D" w:rsidP="0072601D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72601D" w:rsidRDefault="0072601D" w:rsidP="0072601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А.Г.Лукашенко,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</w:t>
      </w:r>
      <w:r w:rsidR="00B5118E">
        <w:t> </w:t>
      </w:r>
      <w:r>
        <w:t xml:space="preserve">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:rsidR="009A68D7" w:rsidRDefault="009A68D7"/>
    <w:sectPr w:rsidR="009A68D7" w:rsidSect="00633C7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DD" w:rsidRDefault="00FD42DD" w:rsidP="00633C79">
      <w:pPr>
        <w:spacing w:after="0" w:line="240" w:lineRule="auto"/>
      </w:pPr>
      <w:r>
        <w:separator/>
      </w:r>
    </w:p>
  </w:endnote>
  <w:endnote w:type="continuationSeparator" w:id="0">
    <w:p w:rsidR="00FD42DD" w:rsidRDefault="00FD42DD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DD" w:rsidRDefault="00FD42DD" w:rsidP="00633C79">
      <w:pPr>
        <w:spacing w:after="0" w:line="240" w:lineRule="auto"/>
      </w:pPr>
      <w:r>
        <w:separator/>
      </w:r>
    </w:p>
  </w:footnote>
  <w:footnote w:type="continuationSeparator" w:id="0">
    <w:p w:rsidR="00FD42DD" w:rsidRDefault="00FD42DD" w:rsidP="006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5154"/>
      <w:docPartObj>
        <w:docPartGallery w:val="Page Numbers (Top of Page)"/>
        <w:docPartUnique/>
      </w:docPartObj>
    </w:sdtPr>
    <w:sdtEndPr/>
    <w:sdtContent>
      <w:p w:rsidR="00633C79" w:rsidRDefault="00633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07">
          <w:rPr>
            <w:noProof/>
          </w:rPr>
          <w:t>2</w:t>
        </w:r>
        <w:r>
          <w:fldChar w:fldCharType="end"/>
        </w:r>
      </w:p>
    </w:sdtContent>
  </w:sdt>
  <w:p w:rsidR="00633C79" w:rsidRDefault="00633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4"/>
    <w:rsid w:val="004E7024"/>
    <w:rsid w:val="00500574"/>
    <w:rsid w:val="00633C79"/>
    <w:rsid w:val="0072601D"/>
    <w:rsid w:val="007701E2"/>
    <w:rsid w:val="009A17D7"/>
    <w:rsid w:val="009A68D7"/>
    <w:rsid w:val="009E52E4"/>
    <w:rsid w:val="00A06407"/>
    <w:rsid w:val="00B5118E"/>
    <w:rsid w:val="00BE2F7C"/>
    <w:rsid w:val="00D34CBA"/>
    <w:rsid w:val="00F56741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Администратор</cp:lastModifiedBy>
  <cp:revision>2</cp:revision>
  <dcterms:created xsi:type="dcterms:W3CDTF">2020-03-16T06:06:00Z</dcterms:created>
  <dcterms:modified xsi:type="dcterms:W3CDTF">2020-03-16T06:06:00Z</dcterms:modified>
</cp:coreProperties>
</file>